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79</w:t>
      </w:r>
    </w:p>
    <w:p>
      <w:r>
        <w:t>Bundesgericht (BGE), 1982-01-18, DE</w:t>
      </w:r>
    </w:p>
    <w:p>
      <w:r>
        <w:rPr>
          <w:b/>
        </w:rPr>
        <w:t xml:space="preserve">Quelle: </w:t>
      </w:r>
      <w:r>
        <w:t>https://mcp.opencaselaw.ch/entscheid/bge_108 IV 79</w:t>
      </w:r>
    </w:p>
    <w:p>
      <w:r>
        <w:t>FR: ATF 108 IV 79</w:t>
      </w:r>
    </w:p>
    <w:p>
      <w:r>
        <w:t>IT: DTF 108 IV 79</w:t>
      </w:r>
    </w:p>
    <w:p>
      <w:pPr>
        <w:pStyle w:val="Heading2"/>
      </w:pPr>
      <w:r>
        <w:t>Regeste</w:t>
      </w:r>
    </w:p>
    <w:p>
      <w:r>
        <w:t>Regeste Art. 271 Abs. 1 BStP. Der Angeklagte ist - ob im Strafpunkt verurteilt oder freigesprochen - zur Nichtigkeitsbeschwerde im Zivilpunkt legitimiert, wenn der Zivilanspruch beurteilt worden ist.</w:t>
      </w:r>
    </w:p>
    <w:p>
      <w:pPr>
        <w:pStyle w:val="Heading2"/>
      </w:pPr>
      <w:r>
        <w:t>Erwägungen</w:t>
      </w:r>
    </w:p>
    <w:p>
      <w:r>
        <w:rPr>
          <w:b/>
        </w:rPr>
        <w:t>E. 1</w:t>
      </w:r>
    </w:p>
    <w:p>
      <w:r>
        <w:t>b) Ist der Zivilanspruch zusammen mit der Strafklage beurteilt worden, so kann die Nichtigkeitsbeschwerde wegen dieses Anspruches vom Geschädigten, vom Verurteilten und von dem BGE 108 IV 79 S. 80 mit ihm ersatzpflichtig erklärten Dritten ergriffen werden ( Art. 271 Abs. 1 BStP ). Während unter Art. 161 OG 1893 die zur Nichtigkeitsbeschwerde legitimierten Personen durch die Praxis festgestellt wurden, der Bundesstrafprozess 1934 in Art. 271 Abs. 1 neben dem Geschädigten und dem ersatzpflichtig erklärten Dritten auch den "Angeklagten" als legitimiert erwähnte, ersetzte Art. 9 des Bundesbeschlusses betreffend vorläufige Änderungen in der Bundesrechtspflege vom 11. Dezember 1941 den "Angeklagten" durch den "Verurteilten". Weder in der bundesrätlichen Botschaft noch in der parlamentarischen Beratung wurde über diese Ausdrucksänderung, die über Art. 168 OG Aufnahme in den geltenden Text des Art. 271 BStP fand, ein Wort verloren. Obschon diese Bezeichnungen zweifellos nur auf die strafprozessuale Stellung dieses Beschwerdelegitimierten Bezug nehmen, bestand in der Praxis kein Zweifel, dass er als "Angeklagter" oder "Verurteilter" - auch bei Freispruch oder Einstellung des Strafverfahrens - die Berechtigung zur Führung der Nichtigkeitsbeschwerde im Zivilpunkt beibehielt (HARALD HUBER, Das Verfahren in Bundesstrafsachen, die von kantonalen Behörden zu beurteilen sind, Diss. 1939, S. 200/201 ff.; EDOUARD RÜEGSEGGER, Diss. 1946, Die eidgenössische Nichtigkeitsbeschwerde gegen kantonale Entscheide in Strafsachen eidgenössischen Rechts, S. 104 ff.; SJK, Nichtigkeitsbeschwerde gegen Entscheidungen kantonaler Behörden in Strafsachen, Karte Nr. 748 S. 10/11; WEISS, Die Kassationsbeschwerde in Strafsachen eidgenössischen Rechtes an den Kassationshof des Bundesgerichtes, in: ZStR 1900, S. 155; BIRCHMEIER, Bundesrechtspflege, S. 554 Ziff. 2c). Die Richtigkeit dieser unangefochtenen Praxis ergibt sich insbesondere aus der Überlegung, wenn dem Geschädigten als Adhäsionskläger das Beschwerderecht zustehe, müsse das zwingend auch von dem im Zivilpunkt Beklagten gelten. Die Tatsache, dass der Strafpunkt von der kantonalen Appellationsinstanz zufolge rechtskräftiger Freisprechung des Beschwerdeführers nicht mehr zu beurteilen war, vermag an der Zulässigkeit der auf den Zivilpunkt beschränkten Nichtigkeitsbeschwerde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